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5" w:name="X88637a0cf039181993a4bd2baac69a8f42f081e"/>
    <w:p>
      <w:pPr>
        <w:pStyle w:val="Heading2"/>
      </w:pPr>
      <w:r>
        <w:t xml:space="preserve">Nota Interna – Fechamento do Dossiê Processual</w:t>
      </w:r>
    </w:p>
    <w:p>
      <w:pPr>
        <w:pStyle w:val="FirstParagraph"/>
      </w:pPr>
      <w:r>
        <w:rPr>
          <w:b/>
          <w:bCs/>
        </w:rPr>
        <w:t xml:space="preserve">Processo:</w:t>
      </w:r>
      <w:r>
        <w:t xml:space="preserve"> </w:t>
      </w:r>
      <w:r>
        <w:t xml:space="preserve">1234/24.5T8LSB – Processo Declarativo de Incumprimento de Contrato de Prestação de Serviços</w:t>
      </w:r>
      <w:r>
        <w:br/>
      </w:r>
      <w:r>
        <w:rPr>
          <w:b/>
          <w:bCs/>
        </w:rPr>
        <w:t xml:space="preserve">Autor/Requerente:</w:t>
      </w:r>
      <w:r>
        <w:t xml:space="preserve"> </w:t>
      </w:r>
      <w:r>
        <w:t xml:space="preserve">XYZ – Serviços de Tecnologia, Lda., NIF 508 123 456, sede: Av. da República, 45, 1050‑150 Lisboa</w:t>
      </w:r>
      <w:r>
        <w:br/>
      </w:r>
      <w:r>
        <w:rPr>
          <w:b/>
          <w:bCs/>
        </w:rPr>
        <w:t xml:space="preserve">Réu/Requerido:</w:t>
      </w:r>
      <w:r>
        <w:t xml:space="preserve"> </w:t>
      </w:r>
      <w:r>
        <w:t xml:space="preserve">ABC – Consultoria Empresarial, Lda., NIF 507 987 654, sede: Rua da Boavista, 120, 4100‑125 Porto</w:t>
      </w:r>
      <w:r>
        <w:br/>
      </w:r>
      <w:r>
        <w:rPr>
          <w:b/>
          <w:bCs/>
        </w:rPr>
        <w:t xml:space="preserve">Mandatários:</w:t>
      </w:r>
      <w:r>
        <w:t xml:space="preserve"> </w:t>
      </w:r>
      <w:r>
        <w:t xml:space="preserve">Dr. João Silva (OA 12345) – Advogado da XYZ; Dra. Maria Fernandes (OA 67890) – Advogada da XYZ</w:t>
      </w:r>
      <w:r>
        <w:br/>
      </w:r>
      <w:r>
        <w:rPr>
          <w:b/>
          <w:bCs/>
        </w:rPr>
        <w:t xml:space="preserve">Juiz:</w:t>
      </w:r>
      <w:r>
        <w:t xml:space="preserve"> </w:t>
      </w:r>
      <w:r>
        <w:t xml:space="preserve">Juiz da 2.ª Vara Cível do Tribunal Judicial da Comarca de Lisboa</w:t>
      </w:r>
      <w:r>
        <w:br/>
      </w:r>
      <w:r>
        <w:rPr>
          <w:b/>
          <w:bCs/>
        </w:rPr>
        <w:t xml:space="preserve">Data da Sentença:</w:t>
      </w:r>
      <w:r>
        <w:t xml:space="preserve"> </w:t>
      </w:r>
      <w:r>
        <w:t xml:space="preserve">12 de novembro de 2024</w:t>
      </w:r>
    </w:p>
    <w:p>
      <w:r>
        <w:pict>
          <v:rect style="width:0;height:1.5pt" o:hralign="center" o:hrstd="t" o:hr="t"/>
        </w:pict>
      </w:r>
    </w:p>
    <w:bookmarkStart w:id="9" w:name="identificação-do-dossiê"/>
    <w:p>
      <w:pPr>
        <w:pStyle w:val="Heading3"/>
      </w:pPr>
      <w:r>
        <w:t xml:space="preserve">1. Identificação do Dossiê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600"/>
        <w:gridCol w:w="4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Elemento</w:t>
            </w:r>
          </w:p>
        </w:tc>
        <w:tc>
          <w:tcPr/>
          <w:p>
            <w:pPr>
              <w:pStyle w:val="Compact"/>
            </w:pPr>
            <w:r>
              <w:t xml:space="preserve">Informação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Número do processo</w:t>
            </w:r>
          </w:p>
        </w:tc>
        <w:tc>
          <w:tcPr/>
          <w:p>
            <w:pPr>
              <w:pStyle w:val="Compact"/>
            </w:pPr>
            <w:r>
              <w:t xml:space="preserve">1234/24.5T8LSB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Natureza</w:t>
            </w:r>
          </w:p>
        </w:tc>
        <w:tc>
          <w:tcPr/>
          <w:p>
            <w:pPr>
              <w:pStyle w:val="Compact"/>
            </w:pPr>
            <w:r>
              <w:t xml:space="preserve">Declarativo – Incumprimento de Contrato de Prestação de Serviços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Partes</w:t>
            </w:r>
          </w:p>
        </w:tc>
        <w:tc>
          <w:tcPr/>
          <w:p>
            <w:pPr>
              <w:pStyle w:val="Compact"/>
            </w:pPr>
            <w:r>
              <w:t xml:space="preserve">XYZ – Serviços de Tecnologia, Lda. (Autor) vs. ABC – Consultoria Empresarial, Lda. (Ré)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Juízo competente</w:t>
            </w:r>
          </w:p>
        </w:tc>
        <w:tc>
          <w:tcPr/>
          <w:p>
            <w:pPr>
              <w:pStyle w:val="Compact"/>
            </w:pPr>
            <w:r>
              <w:t xml:space="preserve">2.ª Vara Cível – Tribunal Judicial da Comarca de Lisboa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Data de abertura</w:t>
            </w:r>
          </w:p>
        </w:tc>
        <w:tc>
          <w:tcPr/>
          <w:p>
            <w:pPr>
              <w:pStyle w:val="Compact"/>
            </w:pPr>
            <w:r>
              <w:t xml:space="preserve">3 de março de 2024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Data de encerramento (sentença)</w:t>
            </w:r>
          </w:p>
        </w:tc>
        <w:tc>
          <w:tcPr/>
          <w:p>
            <w:pPr>
              <w:pStyle w:val="Compact"/>
            </w:pPr>
            <w:r>
              <w:t xml:space="preserve">12 de novembro de 2024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9"/>
    <w:bookmarkStart w:id="10" w:name="histórico-processual-etapas-concluídas"/>
    <w:p>
      <w:pPr>
        <w:pStyle w:val="Heading3"/>
      </w:pPr>
      <w:r>
        <w:t xml:space="preserve">2. Histórico Processual – Etapas Concluídas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250"/>
        <w:gridCol w:w="3960"/>
        <w:gridCol w:w="2709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Data</w:t>
            </w:r>
          </w:p>
        </w:tc>
        <w:tc>
          <w:tcPr/>
          <w:p>
            <w:pPr>
              <w:pStyle w:val="Compact"/>
            </w:pPr>
            <w:r>
              <w:t xml:space="preserve">Evento Processual</w:t>
            </w:r>
          </w:p>
        </w:tc>
        <w:tc>
          <w:tcPr/>
          <w:p>
            <w:pPr>
              <w:pStyle w:val="Compact"/>
            </w:pPr>
            <w:r>
              <w:t xml:space="preserve">Observações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 de março de 2024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Petição Inicial</w:t>
            </w:r>
            <w:r>
              <w:t xml:space="preserve"> </w:t>
            </w:r>
            <w:r>
              <w:t xml:space="preserve">– Exposição dos factos, fundamentos de direito e pedido de resolução do contrato, restituição de valores antecipados (€ 150.000,00) e indemnização por perdas e danos (€ 85.000,00).</w:t>
            </w:r>
          </w:p>
        </w:tc>
        <w:tc>
          <w:tcPr/>
          <w:p>
            <w:pPr>
              <w:pStyle w:val="Compact"/>
            </w:pPr>
            <w:r>
              <w:t xml:space="preserve">Anexado contrato de prestação de serviços datado de 15 de outubro de 2022.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20 de março de 2024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Citação da Ré</w:t>
            </w:r>
            <w:r>
              <w:t xml:space="preserve"> </w:t>
            </w:r>
            <w:r>
              <w:t xml:space="preserve">– Via correio certificado com aviso de receção.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15 de abril de 2024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Contestação</w:t>
            </w:r>
            <w:r>
              <w:t xml:space="preserve"> </w:t>
            </w:r>
            <w:r>
              <w:t xml:space="preserve">– ABC – Consultoria Empresarial, Lda. alega que o incumprimento foi parcial e que a XYZ não cumpriu obrigações de fornecimento de documentação técnica.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28 de abril de 2024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Réplica</w:t>
            </w:r>
            <w:r>
              <w:t xml:space="preserve"> </w:t>
            </w:r>
            <w:r>
              <w:t xml:space="preserve">– Reforço da tese de incumprimento grave da ré, juntada de relatórios de auditoria externa que comprovam a falha na entrega dos serviços contratados.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10 de maio de 2024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Audiência de Conciliação</w:t>
            </w:r>
            <w:r>
              <w:t xml:space="preserve"> </w:t>
            </w:r>
            <w:r>
              <w:t xml:space="preserve">– Não alcançada solução amigável; o juiz designou data para produção de prova pericial.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5 de junho de 2024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Prova Pericial</w:t>
            </w:r>
            <w:r>
              <w:t xml:space="preserve"> </w:t>
            </w:r>
            <w:r>
              <w:t xml:space="preserve">– Peritagem informática realizada por Peritos Associados, S.A., concluindo que a ABC não cumpriu 78 % das obrigações contratuais.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30 de junho de 2024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Despacho de Instrução</w:t>
            </w:r>
            <w:r>
              <w:t xml:space="preserve"> </w:t>
            </w:r>
            <w:r>
              <w:t xml:space="preserve">– Determinação de produção de documentos complementares (e‑mails, relatórios de progresso).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15 de julho de 2024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Juntada de documentos</w:t>
            </w:r>
            <w:r>
              <w:t xml:space="preserve"> </w:t>
            </w:r>
            <w:r>
              <w:t xml:space="preserve">– XYZ apresenta toda a correspondência eletrónica que demonstra a falta de resposta da ré.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 de agosto de 2024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Audiência de Julgamento</w:t>
            </w:r>
            <w:r>
              <w:t xml:space="preserve"> </w:t>
            </w:r>
            <w:r>
              <w:t xml:space="preserve">– Interrogatório das partes e dos peritos.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12 de novembro de 2024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Sentença</w:t>
            </w:r>
            <w:r>
              <w:t xml:space="preserve"> </w:t>
            </w:r>
            <w:r>
              <w:t xml:space="preserve">– Favorável a XYZ; declaração de resolução do contrato; condenação da ABC ao pagamento de € 235.000,00 (valor total dos pagamentos antecipados + indemnização), juros de mora a contar da data do incumprimento (15 de janeiro de 2023) e custas processuais.</w:t>
            </w:r>
          </w:p>
        </w:tc>
        <w:tc>
          <w:tcPr/>
          <w:p>
            <w:pPr>
              <w:pStyle w:val="Compact"/>
            </w:pPr>
          </w:p>
        </w:tc>
      </w:tr>
    </w:tbl>
    <w:p>
      <w:r>
        <w:pict>
          <v:rect style="width:0;height:1.5pt" o:hralign="center" o:hrstd="t" o:hr="t"/>
        </w:pict>
      </w:r>
    </w:p>
    <w:bookmarkEnd w:id="10"/>
    <w:bookmarkStart w:id="11" w:name="resultado-da-sentença"/>
    <w:p>
      <w:pPr>
        <w:pStyle w:val="Heading3"/>
      </w:pPr>
      <w:r>
        <w:t xml:space="preserve">3. Resultado da Sentença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Declaração de Resolução</w:t>
      </w:r>
      <w:r>
        <w:t xml:space="preserve"> </w:t>
      </w:r>
      <w:r>
        <w:t xml:space="preserve">do contrato de prestação de serviços celebrado em 15 de outubro de 2022.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Condenação da Ré</w:t>
      </w:r>
      <w:r>
        <w:t xml:space="preserve"> </w:t>
      </w:r>
      <w:r>
        <w:t xml:space="preserve">ao pagamento de:</w:t>
      </w:r>
    </w:p>
    <w:p>
      <w:pPr>
        <w:pStyle w:val="Compact"/>
        <w:numPr>
          <w:ilvl w:val="1"/>
          <w:numId w:val="1002"/>
        </w:numPr>
      </w:pPr>
      <w:r>
        <w:rPr>
          <w:b/>
          <w:bCs/>
        </w:rPr>
        <w:t xml:space="preserve">Valor Principal:</w:t>
      </w:r>
      <w:r>
        <w:t xml:space="preserve"> </w:t>
      </w:r>
      <w:r>
        <w:t xml:space="preserve">€ 235.000,00 ( € 150.000,00 de pagamentos antecipados + € 85.000,00 de perdas e danos).</w:t>
      </w:r>
      <w:r>
        <w:br/>
      </w:r>
    </w:p>
    <w:p>
      <w:pPr>
        <w:pStyle w:val="Compact"/>
        <w:numPr>
          <w:ilvl w:val="1"/>
          <w:numId w:val="1002"/>
        </w:numPr>
      </w:pPr>
      <w:r>
        <w:rPr>
          <w:b/>
          <w:bCs/>
        </w:rPr>
        <w:t xml:space="preserve">Juros de Mora:</w:t>
      </w:r>
      <w:r>
        <w:t xml:space="preserve"> </w:t>
      </w:r>
      <w:r>
        <w:t xml:space="preserve">4 % ao ano, a contar de 15 de janeiro de 2023, calculados até à data de efetivo pagamento.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Custas Processuais:</w:t>
      </w:r>
      <w:r>
        <w:t xml:space="preserve"> </w:t>
      </w:r>
      <w:r>
        <w:t xml:space="preserve">€ 3.250,00, a cargo da ré.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Honorários de Sucumbência:</w:t>
      </w:r>
      <w:r>
        <w:t xml:space="preserve"> </w:t>
      </w:r>
      <w:r>
        <w:t xml:space="preserve">€ 12.500,00, fixados em 5 % do valor da condenação, a cargo da ré.</w:t>
      </w:r>
    </w:p>
    <w:p>
      <w:pPr>
        <w:pStyle w:val="FirstParagraph"/>
      </w:pPr>
      <w:r>
        <w:t xml:space="preserve">A sentença foi publicada no Boletim de Notícias Judiciais em 20 de novembro de 2024 e intimada a ambas as partes em 22 de novembro de 2024.</w:t>
      </w:r>
    </w:p>
    <w:p>
      <w:r>
        <w:pict>
          <v:rect style="width:0;height:1.5pt" o:hralign="center" o:hrstd="t" o:hr="t"/>
        </w:pict>
      </w:r>
    </w:p>
    <w:bookmarkEnd w:id="11"/>
    <w:bookmarkStart w:id="12" w:name="X2d78ee0ff2bfba23e285b94ee962f275fe81159"/>
    <w:p>
      <w:pPr>
        <w:pStyle w:val="Heading3"/>
      </w:pPr>
      <w:r>
        <w:t xml:space="preserve">4. Cumprimento da Sentença – Ações Executivas Realizadas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066"/>
        <w:gridCol w:w="2066"/>
        <w:gridCol w:w="3787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Data</w:t>
            </w:r>
          </w:p>
        </w:tc>
        <w:tc>
          <w:tcPr/>
          <w:p>
            <w:pPr>
              <w:pStyle w:val="Compact"/>
            </w:pPr>
            <w:r>
              <w:t xml:space="preserve">Ação</w:t>
            </w:r>
          </w:p>
        </w:tc>
        <w:tc>
          <w:tcPr/>
          <w:p>
            <w:pPr>
              <w:pStyle w:val="Compact"/>
            </w:pPr>
            <w:r>
              <w:t xml:space="preserve">Resultado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25 de novembro de 2024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Intimação para Cumprimento Voluntário</w:t>
            </w:r>
            <w:r>
              <w:t xml:space="preserve"> </w:t>
            </w:r>
            <w:r>
              <w:t xml:space="preserve">– Carta registada com aviso de receção enviada à ABC – Consultoria Empresarial, Lda., concedendo prazo de 30 dias para pagamento integral.</w:t>
            </w:r>
          </w:p>
        </w:tc>
        <w:tc>
          <w:tcPr/>
          <w:p>
            <w:pPr>
              <w:pStyle w:val="Compact"/>
            </w:pPr>
            <w:r>
              <w:t xml:space="preserve">Ré não efetuou pagamento dentro do prazo.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30 de dezembro de 2024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Pedido de Bloqueio de Valores</w:t>
            </w:r>
            <w:r>
              <w:t xml:space="preserve"> </w:t>
            </w:r>
            <w:r>
              <w:t xml:space="preserve">– Solicitação ao Banco de Portugal para bloqueio de contas bancárias da ré (IBAN PT50 0002 0000 1234 5678 9015 4).</w:t>
            </w:r>
          </w:p>
        </w:tc>
        <w:tc>
          <w:tcPr/>
          <w:p>
            <w:pPr>
              <w:pStyle w:val="Compact"/>
            </w:pPr>
            <w:r>
              <w:t xml:space="preserve">Bloqueio parcial de € 120.000,00 efetuado.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15 de janeiro de 2025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Início da Execução</w:t>
            </w:r>
            <w:r>
              <w:t xml:space="preserve"> </w:t>
            </w:r>
            <w:r>
              <w:t xml:space="preserve">– Emissão de mandado de penhora de bens móveis e penhora de quotas sociais da empresa ré, com avaliação preliminar de € 80.000,00.</w:t>
            </w:r>
          </w:p>
        </w:tc>
        <w:tc>
          <w:tcPr/>
          <w:p>
            <w:pPr>
              <w:pStyle w:val="Compact"/>
            </w:pPr>
            <w:r>
              <w:t xml:space="preserve">Bens penhorados identificados e notificados.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10 de fevereiro de 2025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Leilão Judicial</w:t>
            </w:r>
            <w:r>
              <w:t xml:space="preserve"> </w:t>
            </w:r>
            <w:r>
              <w:t xml:space="preserve">– Realização de leilão dos bens penhorados, arrecadando € 75.000,00.</w:t>
            </w:r>
          </w:p>
        </w:tc>
        <w:tc>
          <w:tcPr/>
          <w:p>
            <w:pPr>
              <w:pStyle w:val="Compact"/>
            </w:pPr>
            <w:r>
              <w:t xml:space="preserve">Valor incorporado ao crédito da XYZ.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5 de março de 2025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Desbloqueio de Valores Restantes</w:t>
            </w:r>
            <w:r>
              <w:t xml:space="preserve"> </w:t>
            </w:r>
            <w:r>
              <w:t xml:space="preserve">– Liberação de € 115.000,00 bloqueados, correspondente ao saldo devedor após leilão e dedução das custas executórias (€ 5.000,00).</w:t>
            </w:r>
          </w:p>
        </w:tc>
        <w:tc>
          <w:tcPr/>
          <w:p>
            <w:pPr>
              <w:pStyle w:val="Compact"/>
            </w:pPr>
            <w:r>
              <w:t xml:space="preserve">Pagamento efetuado à XYZ – Serviços de Tecnologia, Lda.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2"/>
    <w:bookmarkStart w:id="13" w:name="providências-finais-a-adotar"/>
    <w:p>
      <w:pPr>
        <w:pStyle w:val="Heading3"/>
      </w:pPr>
      <w:r>
        <w:t xml:space="preserve">5. Providências Finais a Adotar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Confirmação de Receção dos Valores</w:t>
      </w:r>
    </w:p>
    <w:p>
      <w:pPr>
        <w:pStyle w:val="Compact"/>
        <w:numPr>
          <w:ilvl w:val="1"/>
          <w:numId w:val="1004"/>
        </w:numPr>
      </w:pPr>
      <w:r>
        <w:t xml:space="preserve">Verificar junto ao departamento de tesouraria da XYZ a entrada efetiva dos € 190.000,00 (valor total pago ao credor após leilão e desbloqueio).</w:t>
      </w:r>
      <w:r>
        <w:br/>
      </w:r>
    </w:p>
    <w:p>
      <w:pPr>
        <w:pStyle w:val="Compact"/>
        <w:numPr>
          <w:ilvl w:val="1"/>
          <w:numId w:val="1004"/>
        </w:numPr>
      </w:pPr>
      <w:r>
        <w:t xml:space="preserve">Emitir recibo de quitação integral da dívida, a ser arquivado no processo.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Arquivamento do Dossiê</w:t>
      </w:r>
    </w:p>
    <w:p>
      <w:pPr>
        <w:pStyle w:val="Compact"/>
        <w:numPr>
          <w:ilvl w:val="1"/>
          <w:numId w:val="1005"/>
        </w:numPr>
      </w:pPr>
      <w:r>
        <w:t xml:space="preserve">Atualizar o índice de processos com a marca “Cumprimento Total – Arquivado”.</w:t>
      </w:r>
      <w:r>
        <w:br/>
      </w:r>
    </w:p>
    <w:p>
      <w:pPr>
        <w:pStyle w:val="Compact"/>
        <w:numPr>
          <w:ilvl w:val="1"/>
          <w:numId w:val="1005"/>
        </w:numPr>
      </w:pPr>
      <w:r>
        <w:t xml:space="preserve">Encadernar toda a documentação (petição inicial, contestação, perícia, sentença, atos de execução, comprovativos de pagamento) e inserir no arquivo permanente da secção de Litígios Comerciais.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Comunicação ao Cliente</w:t>
      </w:r>
    </w:p>
    <w:p>
      <w:pPr>
        <w:pStyle w:val="Compact"/>
        <w:numPr>
          <w:ilvl w:val="1"/>
          <w:numId w:val="1006"/>
        </w:numPr>
      </w:pPr>
      <w:r>
        <w:t xml:space="preserve">Redigir e enviar relatório final ao Conselho de Administração da XYZ, contendo:</w:t>
      </w:r>
    </w:p>
    <w:p>
      <w:pPr>
        <w:pStyle w:val="Compact"/>
        <w:numPr>
          <w:ilvl w:val="2"/>
          <w:numId w:val="1007"/>
        </w:numPr>
      </w:pPr>
      <w:r>
        <w:t xml:space="preserve">Resumo dos factos e decisão judicial;</w:t>
      </w:r>
      <w:r>
        <w:br/>
      </w:r>
    </w:p>
    <w:p>
      <w:pPr>
        <w:pStyle w:val="Compact"/>
        <w:numPr>
          <w:ilvl w:val="2"/>
          <w:numId w:val="1007"/>
        </w:numPr>
      </w:pPr>
      <w:r>
        <w:t xml:space="preserve">Montante total recuperado e juros auferidos;</w:t>
      </w:r>
      <w:r>
        <w:br/>
      </w:r>
    </w:p>
    <w:p>
      <w:pPr>
        <w:pStyle w:val="Compact"/>
        <w:numPr>
          <w:ilvl w:val="2"/>
          <w:numId w:val="1007"/>
        </w:numPr>
      </w:pPr>
      <w:r>
        <w:t xml:space="preserve">Impacto financeiro no exercício 2024/2025;</w:t>
      </w:r>
      <w:r>
        <w:br/>
      </w:r>
    </w:p>
    <w:p>
      <w:pPr>
        <w:pStyle w:val="Compact"/>
        <w:numPr>
          <w:ilvl w:val="2"/>
          <w:numId w:val="1007"/>
        </w:numPr>
      </w:pPr>
      <w:r>
        <w:t xml:space="preserve">Recomendações para prevenção de incumprimentos futuros (cláusulas de garantia, auditoria de desempenho).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Atualização de Registo de Contratos</w:t>
      </w:r>
    </w:p>
    <w:p>
      <w:pPr>
        <w:pStyle w:val="Compact"/>
        <w:numPr>
          <w:ilvl w:val="1"/>
          <w:numId w:val="1008"/>
        </w:numPr>
      </w:pPr>
      <w:r>
        <w:t xml:space="preserve">Cancelar a inscrição do contrato de prestação de serviços no sistema interno de gestão de contratos da XYZ.</w:t>
      </w:r>
      <w:r>
        <w:br/>
      </w:r>
    </w:p>
    <w:p>
      <w:pPr>
        <w:pStyle w:val="Compact"/>
        <w:numPr>
          <w:ilvl w:val="1"/>
          <w:numId w:val="1008"/>
        </w:numPr>
      </w:pPr>
      <w:r>
        <w:t xml:space="preserve">Inserir nota de “Contrato Rescindido por Incumprimento” com referência ao número do processo (1234/24.5T8LSB).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Revisão de Política de Crédito</w:t>
      </w:r>
    </w:p>
    <w:p>
      <w:pPr>
        <w:pStyle w:val="Compact"/>
        <w:numPr>
          <w:ilvl w:val="1"/>
          <w:numId w:val="1009"/>
        </w:numPr>
      </w:pPr>
      <w:r>
        <w:t xml:space="preserve">Submeter ao Departamento Jurídico e Financeiro proposta de revisão das políticas de avaliação de crédito a clientes, incorporando critérios de histórico de cumprimento contratual e análise de risco setorial.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Encerramento Administrativo</w:t>
      </w:r>
    </w:p>
    <w:p>
      <w:pPr>
        <w:pStyle w:val="Compact"/>
        <w:numPr>
          <w:ilvl w:val="1"/>
          <w:numId w:val="1010"/>
        </w:numPr>
      </w:pPr>
      <w:r>
        <w:t xml:space="preserve">Notificar a secretaria da 2.ª Vara Cível de Lisboa da intenção de requerer o</w:t>
      </w:r>
      <w:r>
        <w:t xml:space="preserve"> </w:t>
      </w:r>
      <w:r>
        <w:rPr>
          <w:b/>
          <w:bCs/>
        </w:rPr>
        <w:t xml:space="preserve">arquivo definitivo</w:t>
      </w:r>
      <w:r>
        <w:t xml:space="preserve"> </w:t>
      </w:r>
      <w:r>
        <w:t xml:space="preserve">do processo, nos termos do artigo 702.º do Código de Processo Civil, após a comprovação do pagamento integral.</w:t>
      </w:r>
    </w:p>
    <w:p>
      <w:r>
        <w:pict>
          <v:rect style="width:0;height:1.5pt" o:hralign="center" o:hrstd="t" o:hr="t"/>
        </w:pict>
      </w:r>
    </w:p>
    <w:bookmarkEnd w:id="13"/>
    <w:bookmarkStart w:id="14" w:name="anexos"/>
    <w:p>
      <w:pPr>
        <w:pStyle w:val="Heading3"/>
      </w:pPr>
      <w:r>
        <w:t xml:space="preserve">6. Anexos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931"/>
        <w:gridCol w:w="2562"/>
        <w:gridCol w:w="4425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Nº</w:t>
            </w:r>
          </w:p>
        </w:tc>
        <w:tc>
          <w:tcPr/>
          <w:p>
            <w:pPr>
              <w:pStyle w:val="Compact"/>
            </w:pPr>
            <w:r>
              <w:t xml:space="preserve">Descrição</w:t>
            </w:r>
          </w:p>
        </w:tc>
        <w:tc>
          <w:tcPr/>
          <w:p>
            <w:pPr>
              <w:pStyle w:val="Compact"/>
            </w:pPr>
            <w:r>
              <w:t xml:space="preserve">Tipo de Documento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</w:t>
            </w:r>
          </w:p>
        </w:tc>
        <w:tc>
          <w:tcPr/>
          <w:p>
            <w:pPr>
              <w:pStyle w:val="Compact"/>
            </w:pPr>
            <w:r>
              <w:t xml:space="preserve">Sentença proferida (cópia integral)</w:t>
            </w:r>
          </w:p>
        </w:tc>
        <w:tc>
          <w:tcPr/>
          <w:p>
            <w:pPr>
              <w:pStyle w:val="Compact"/>
            </w:pPr>
            <w:r>
              <w:t xml:space="preserve">PDF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B</w:t>
            </w:r>
          </w:p>
        </w:tc>
        <w:tc>
          <w:tcPr/>
          <w:p>
            <w:pPr>
              <w:pStyle w:val="Compact"/>
            </w:pPr>
            <w:r>
              <w:t xml:space="preserve">Mandado de Penhora e Avaliação de Bens</w:t>
            </w:r>
          </w:p>
        </w:tc>
        <w:tc>
          <w:tcPr/>
          <w:p>
            <w:pPr>
              <w:pStyle w:val="Compact"/>
            </w:pPr>
            <w:r>
              <w:t xml:space="preserve">PDF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</w:t>
            </w:r>
          </w:p>
        </w:tc>
        <w:tc>
          <w:tcPr/>
          <w:p>
            <w:pPr>
              <w:pStyle w:val="Compact"/>
            </w:pPr>
            <w:r>
              <w:t xml:space="preserve">Relatório de Leilão Judicial</w:t>
            </w:r>
          </w:p>
        </w:tc>
        <w:tc>
          <w:tcPr/>
          <w:p>
            <w:pPr>
              <w:pStyle w:val="Compact"/>
            </w:pPr>
            <w:r>
              <w:t xml:space="preserve">PDF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</w:t>
            </w:r>
          </w:p>
        </w:tc>
        <w:tc>
          <w:tcPr/>
          <w:p>
            <w:pPr>
              <w:pStyle w:val="Compact"/>
            </w:pPr>
            <w:r>
              <w:t xml:space="preserve">Recibo de Quitação – XYZ – Serviços de Tecnologia, Lda.</w:t>
            </w:r>
          </w:p>
        </w:tc>
        <w:tc>
          <w:tcPr/>
          <w:p>
            <w:pPr>
              <w:pStyle w:val="Compact"/>
            </w:pPr>
            <w:r>
              <w:t xml:space="preserve">PDF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E</w:t>
            </w:r>
          </w:p>
        </w:tc>
        <w:tc>
          <w:tcPr/>
          <w:p>
            <w:pPr>
              <w:pStyle w:val="Compact"/>
            </w:pPr>
            <w:r>
              <w:t xml:space="preserve">Comunicação ao Conselho de Administração (relatório final)</w:t>
            </w:r>
          </w:p>
        </w:tc>
        <w:tc>
          <w:tcPr/>
          <w:p>
            <w:pPr>
              <w:pStyle w:val="Compact"/>
            </w:pPr>
            <w:r>
              <w:t xml:space="preserve">DOCX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F</w:t>
            </w:r>
          </w:p>
        </w:tc>
        <w:tc>
          <w:tcPr/>
          <w:p>
            <w:pPr>
              <w:pStyle w:val="Compact"/>
            </w:pPr>
            <w:r>
              <w:t xml:space="preserve">Atualização do Registo de Contratos (screenshot do sistema)</w:t>
            </w:r>
          </w:p>
        </w:tc>
        <w:tc>
          <w:tcPr/>
          <w:p>
            <w:pPr>
              <w:pStyle w:val="Compact"/>
            </w:pPr>
            <w:r>
              <w:t xml:space="preserve">PNG</w:t>
            </w:r>
          </w:p>
        </w:tc>
      </w:tr>
    </w:tbl>
    <w:p>
      <w:pPr>
        <w:pStyle w:val="BlockText"/>
      </w:pPr>
      <w:r>
        <w:rPr>
          <w:b/>
          <w:bCs/>
        </w:rPr>
        <w:t xml:space="preserve">Nota:</w:t>
      </w:r>
      <w:r>
        <w:t xml:space="preserve"> </w:t>
      </w:r>
      <w:r>
        <w:t xml:space="preserve">Todos os documentos acima mencionados foram digitalizados e armazenados no repositório interno “Processos – Litígios Comerciais – 2024/2025”, com backup automático em servidor seguro.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i/>
          <w:iCs/>
        </w:rPr>
        <w:t xml:space="preserve">Preparada por:</w:t>
      </w:r>
      <w:r>
        <w:t xml:space="preserve"> </w:t>
      </w:r>
      <w:r>
        <w:rPr>
          <w:b/>
          <w:bCs/>
        </w:rPr>
        <w:t xml:space="preserve">Dr. João Silva</w:t>
      </w:r>
      <w:r>
        <w:t xml:space="preserve"> </w:t>
      </w:r>
      <w:r>
        <w:t xml:space="preserve">– OA 12345</w:t>
      </w:r>
      <w:r>
        <w:br/>
      </w:r>
      <w:r>
        <w:rPr>
          <w:i/>
          <w:iCs/>
        </w:rPr>
        <w:t xml:space="preserve">Revisada por:</w:t>
      </w:r>
      <w:r>
        <w:t xml:space="preserve"> </w:t>
      </w:r>
      <w:r>
        <w:rPr>
          <w:b/>
          <w:bCs/>
        </w:rPr>
        <w:t xml:space="preserve">Dra. Maria Fernandes</w:t>
      </w:r>
      <w:r>
        <w:t xml:space="preserve"> </w:t>
      </w:r>
      <w:r>
        <w:t xml:space="preserve">– OA 67890</w:t>
      </w:r>
    </w:p>
    <w:p>
      <w:pPr>
        <w:pStyle w:val="BodyText"/>
      </w:pPr>
      <w:r>
        <w:rPr>
          <w:i/>
          <w:iCs/>
        </w:rPr>
        <w:t xml:space="preserve">Lisboa, 28 de março de 2025</w:t>
      </w:r>
    </w:p>
    <w:bookmarkEnd w:id="14"/>
    <w:bookmarkEnd w:id="15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2026-02-22T18:53:15Z</dcterms:created>
  <dcterms:modified xsi:type="dcterms:W3CDTF">2026-02-22T18:53:15Z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